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5C" w:rsidRDefault="0045295C" w:rsidP="00D2540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-213995</wp:posOffset>
            </wp:positionV>
            <wp:extent cx="781050" cy="914400"/>
            <wp:effectExtent l="19050" t="0" r="0" b="0"/>
            <wp:wrapTight wrapText="bothSides">
              <wp:wrapPolygon edited="0">
                <wp:start x="-527" y="0"/>
                <wp:lineTo x="-527" y="21150"/>
                <wp:lineTo x="21600" y="21150"/>
                <wp:lineTo x="21600" y="0"/>
                <wp:lineTo x="-527" y="0"/>
              </wp:wrapPolygon>
            </wp:wrapTight>
            <wp:docPr id="3" name="Obraz 3" descr="nowy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-166370</wp:posOffset>
            </wp:positionV>
            <wp:extent cx="1200150" cy="409575"/>
            <wp:effectExtent l="19050" t="0" r="0" b="0"/>
            <wp:wrapSquare wrapText="bothSides"/>
            <wp:docPr id="4" name="Obraz 4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95C" w:rsidRDefault="0045295C" w:rsidP="0045295C">
      <w:pPr>
        <w:jc w:val="right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</w:r>
      <w:r>
        <w:rPr>
          <w:rFonts w:ascii="Arial Black" w:hAnsi="Arial Black" w:cs="Times New Roman"/>
          <w:sz w:val="18"/>
          <w:szCs w:val="18"/>
        </w:rPr>
        <w:tab/>
        <w:t xml:space="preserve">     </w:t>
      </w:r>
    </w:p>
    <w:p w:rsidR="0045295C" w:rsidRPr="0045295C" w:rsidRDefault="0045295C" w:rsidP="0045295C">
      <w:pPr>
        <w:jc w:val="right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POWIAT DĄBROWSKI</w:t>
      </w:r>
    </w:p>
    <w:p w:rsidR="00854C7F" w:rsidRPr="00D25402" w:rsidRDefault="00A9072D" w:rsidP="00D25402">
      <w:pPr>
        <w:jc w:val="center"/>
        <w:rPr>
          <w:rFonts w:ascii="Arial Black" w:hAnsi="Arial Black" w:cs="Times New Roman"/>
          <w:sz w:val="24"/>
          <w:szCs w:val="24"/>
        </w:rPr>
      </w:pPr>
      <w:r w:rsidRPr="00D25402">
        <w:rPr>
          <w:rFonts w:ascii="Arial Black" w:hAnsi="Arial Black" w:cs="Times New Roman"/>
          <w:sz w:val="24"/>
          <w:szCs w:val="24"/>
        </w:rPr>
        <w:t>KARTA INFORMACYJNA PORADNICTWA</w:t>
      </w:r>
    </w:p>
    <w:p w:rsidR="00A9072D" w:rsidRPr="005C37DB" w:rsidRDefault="00960EC4" w:rsidP="00B9612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NIEODPŁATNE PORADNICTWO OBYWATELSKIE</w:t>
      </w:r>
    </w:p>
    <w:tbl>
      <w:tblPr>
        <w:tblStyle w:val="Tabela-Siatka"/>
        <w:tblW w:w="9322" w:type="dxa"/>
        <w:tblLook w:val="04A0"/>
      </w:tblPr>
      <w:tblGrid>
        <w:gridCol w:w="2518"/>
        <w:gridCol w:w="6804"/>
      </w:tblGrid>
      <w:tr w:rsidR="00D25402" w:rsidTr="00E87966">
        <w:tc>
          <w:tcPr>
            <w:tcW w:w="2518" w:type="dxa"/>
          </w:tcPr>
          <w:p w:rsidR="00D25402" w:rsidRPr="00FF17E2" w:rsidRDefault="00D25402" w:rsidP="00D254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37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OPIS USŁUGI</w:t>
            </w:r>
          </w:p>
          <w:p w:rsidR="00D25402" w:rsidRPr="005C37DB" w:rsidRDefault="00D254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5402" w:rsidRPr="00FF17E2" w:rsidRDefault="00960EC4" w:rsidP="00D25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Nieodpłatne poradnictwo obywatelskie</w:t>
            </w:r>
            <w:r w:rsidR="00D25402"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obejmuje: </w:t>
            </w:r>
          </w:p>
          <w:p w:rsidR="00960EC4" w:rsidRPr="00960EC4" w:rsidRDefault="00960EC4" w:rsidP="00960EC4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działania dostosowane do indywidualnej sytuacji osoby uprawnionej, zmierzające do podniesienia świadomości tej osoby o przysługujących jej uprawnieniach lub </w:t>
            </w:r>
          </w:p>
          <w:p w:rsidR="00960EC4" w:rsidRPr="00960EC4" w:rsidRDefault="00960EC4" w:rsidP="00960EC4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spoczywających na 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iej obowiązkach oraz wsparcia w </w:t>
            </w:r>
            <w:r w:rsidRPr="009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samodzielnym rozwiązywaniu problemu, w tym, w razie potrzeby,</w:t>
            </w:r>
          </w:p>
          <w:p w:rsidR="00960EC4" w:rsidRPr="00960EC4" w:rsidRDefault="00960EC4" w:rsidP="00960EC4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sporządzenie wspólnie z oso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bą uprawnioną planu działania i </w:t>
            </w:r>
            <w:r w:rsidRPr="009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pomoc w jego realizacji. </w:t>
            </w:r>
          </w:p>
          <w:p w:rsidR="00D25402" w:rsidRPr="00960EC4" w:rsidRDefault="00960EC4" w:rsidP="00960E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Nieodpłatne poradnictwo obywatelskie obejmuje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w </w:t>
            </w:r>
            <w:r w:rsidRPr="009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szczególności porady dla osób zadłużonych i porady z zakresu spraw mieszkaniowych oraz zabezpieczenia społecznego.</w:t>
            </w:r>
          </w:p>
        </w:tc>
      </w:tr>
      <w:tr w:rsidR="00D25402" w:rsidTr="00E87966">
        <w:tc>
          <w:tcPr>
            <w:tcW w:w="2518" w:type="dxa"/>
          </w:tcPr>
          <w:p w:rsidR="00D25402" w:rsidRPr="005C37DB" w:rsidRDefault="00D254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3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KTO MOŻE SKORZYSTAĆ</w:t>
            </w:r>
          </w:p>
        </w:tc>
        <w:tc>
          <w:tcPr>
            <w:tcW w:w="6804" w:type="dxa"/>
          </w:tcPr>
          <w:p w:rsidR="00D25402" w:rsidRPr="00D25402" w:rsidRDefault="00D254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 porad może skorzystać każda osoba, której nie stać na odpłatne porady i która złoży stosowne oświadczenie.</w:t>
            </w:r>
          </w:p>
          <w:p w:rsidR="00D25402" w:rsidRPr="00D25402" w:rsidRDefault="00D25402" w:rsidP="0096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Osoba uprawniona</w:t>
            </w:r>
            <w:r w:rsidRPr="00D254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960EC4" w:rsidRPr="009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przed uzyskaniem nieodpłatnego poradnictwa obywatelskiego, składa pisemne oświadczenie, że nie jest w stanie ponieść kosztów odpłatnej pomocy prawnej. Oświadczenie składa się osobie świadczącej nieodpłatne poradnictwo obywatelskie.</w:t>
            </w:r>
          </w:p>
        </w:tc>
      </w:tr>
      <w:tr w:rsidR="00D25402" w:rsidTr="00E87966">
        <w:tc>
          <w:tcPr>
            <w:tcW w:w="2518" w:type="dxa"/>
          </w:tcPr>
          <w:p w:rsidR="00D25402" w:rsidRPr="005C37DB" w:rsidRDefault="00D254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3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FORMA ZAPISU</w:t>
            </w:r>
          </w:p>
        </w:tc>
        <w:tc>
          <w:tcPr>
            <w:tcW w:w="6804" w:type="dxa"/>
          </w:tcPr>
          <w:p w:rsidR="00E87966" w:rsidRDefault="00F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C7">
              <w:rPr>
                <w:rFonts w:ascii="Times New Roman" w:hAnsi="Times New Roman" w:cs="Times New Roman"/>
                <w:sz w:val="24"/>
                <w:szCs w:val="24"/>
              </w:rPr>
              <w:t xml:space="preserve">Termin wizyty ustalany jest telefonicznie pod nr  </w:t>
            </w:r>
          </w:p>
          <w:p w:rsidR="00D25402" w:rsidRPr="00F642C7" w:rsidRDefault="00F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Arial Black" w:hAnsi="Arial Black" w:cs="Times New Roman"/>
                <w:b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  <w:t>14 642 21 93</w:t>
            </w:r>
          </w:p>
        </w:tc>
      </w:tr>
      <w:tr w:rsidR="00D25402" w:rsidTr="00E87966">
        <w:tc>
          <w:tcPr>
            <w:tcW w:w="2518" w:type="dxa"/>
          </w:tcPr>
          <w:p w:rsidR="00D25402" w:rsidRPr="005C37DB" w:rsidRDefault="00D254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3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INNE INFORMACJE</w:t>
            </w:r>
          </w:p>
        </w:tc>
        <w:tc>
          <w:tcPr>
            <w:tcW w:w="6804" w:type="dxa"/>
          </w:tcPr>
          <w:p w:rsidR="00494A2D" w:rsidRPr="00FF17E2" w:rsidRDefault="00494A2D" w:rsidP="00494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Porady co do zasady udzielan</w:t>
            </w:r>
            <w:r w:rsidR="00E23A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 są podczas osobistej wizyty w 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punkcie.</w:t>
            </w:r>
          </w:p>
          <w:p w:rsidR="00494A2D" w:rsidRDefault="00494A2D" w:rsidP="00494A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94A2D" w:rsidRPr="00FF17E2" w:rsidRDefault="00494A2D" w:rsidP="00494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Osobom ze znaczną niepełnosprawnością ruchową, które nie mogą stawić się w punkcie osobiście, oraz osobom doświadczającym trudności w komunikowaniu się, o których mowa w 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stawie z dnia 19 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sierpnia 2011 r. o języku migowym i innych środkach komunikowania się, może być </w:t>
            </w:r>
            <w:r w:rsidR="00960EC4" w:rsidRPr="009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świadczone nieodpłatne poradnictwo obywatelskie</w:t>
            </w:r>
            <w:r w:rsidR="00960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także przez zorganizowanie wizyty w miejscu zamieszkania tych osób lub w miejscu wyposażonym w urządzenie ułatwiające porozumiewanie się z osoba</w:t>
            </w:r>
            <w:r w:rsidR="003336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 doświadczającymi trudności w 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komunikowaniu się lub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w 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miejscu, w którym zapewnia się możliwość skorzystania z pomocy tłumacza języka migowego.</w:t>
            </w:r>
          </w:p>
          <w:p w:rsidR="00D25402" w:rsidRDefault="00494A2D" w:rsidP="00BF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Osoby, o których mowa powyżej, które zgłoszą uzasadnioną potrzebę komunikacji za pośrednictwem środków porozumiewania się na odległość, przed uzyskaniem nieodpłatne</w:t>
            </w:r>
            <w:r w:rsidR="00BF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go poradnictwa obywatelskiego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składają Staroście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Dąbrowskiemu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w formie papierowej lub elektronicznej, oświadczenie, że nie są w stanie 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ponieść kosztów odpłatnej pomocy prawnej, o który</w:t>
            </w:r>
            <w:r w:rsidR="003336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 mowa w art. 4 ust. 2 ustawy z 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dnia 5 sierpnia 2015 r. o nieodpłatnej pomocy prawnej, nieodpłatnym poradnictwie obywatelskim oraz edukacji prawnej, wraz ze wskazaniem okoliczności to uzasadniających oraz dostępnych tym osobom środków porozumiewania się na odległość. Osoba </w:t>
            </w:r>
            <w:r w:rsidR="00BF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świadcząca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nieodpłatne</w:t>
            </w:r>
            <w:r w:rsidR="00BF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poradnictwo obywatelskie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po otrzymaniu od Starosty drogą elektroniczną oświadczenia i danych kontaktowych osoby uprawnionej,</w:t>
            </w:r>
            <w:r w:rsidR="00BF1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porozumiewa się z nią w </w:t>
            </w:r>
            <w:r w:rsidRPr="00FF17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umówionym terminie.</w:t>
            </w:r>
          </w:p>
        </w:tc>
      </w:tr>
    </w:tbl>
    <w:p w:rsidR="00A9072D" w:rsidRDefault="00A907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2109"/>
        <w:gridCol w:w="1685"/>
        <w:gridCol w:w="3249"/>
        <w:gridCol w:w="2279"/>
      </w:tblGrid>
      <w:tr w:rsidR="00E55B92" w:rsidTr="00E23A0F">
        <w:tc>
          <w:tcPr>
            <w:tcW w:w="2109" w:type="dxa"/>
          </w:tcPr>
          <w:p w:rsidR="00E55B92" w:rsidRPr="007579FB" w:rsidRDefault="00E5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FB">
              <w:rPr>
                <w:rFonts w:ascii="Times New Roman" w:hAnsi="Times New Roman" w:cs="Times New Roman"/>
                <w:b/>
                <w:sz w:val="24"/>
                <w:szCs w:val="24"/>
              </w:rPr>
              <w:t>Jednostka prowadząca</w:t>
            </w:r>
          </w:p>
        </w:tc>
        <w:tc>
          <w:tcPr>
            <w:tcW w:w="1685" w:type="dxa"/>
          </w:tcPr>
          <w:p w:rsidR="00E55B92" w:rsidRPr="007579FB" w:rsidRDefault="00E5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F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249" w:type="dxa"/>
          </w:tcPr>
          <w:p w:rsidR="00E55B92" w:rsidRPr="007579FB" w:rsidRDefault="00E5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FB">
              <w:rPr>
                <w:rFonts w:ascii="Times New Roman" w:hAnsi="Times New Roman" w:cs="Times New Roman"/>
                <w:b/>
                <w:sz w:val="24"/>
                <w:szCs w:val="24"/>
              </w:rPr>
              <w:t>Dni i godziny dyżurów</w:t>
            </w:r>
          </w:p>
        </w:tc>
        <w:tc>
          <w:tcPr>
            <w:tcW w:w="2279" w:type="dxa"/>
          </w:tcPr>
          <w:p w:rsidR="00E55B92" w:rsidRPr="007579FB" w:rsidRDefault="00E5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FB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</w:tr>
      <w:tr w:rsidR="00E55B92" w:rsidTr="00E23A0F">
        <w:tc>
          <w:tcPr>
            <w:tcW w:w="2109" w:type="dxa"/>
          </w:tcPr>
          <w:p w:rsidR="00E55B92" w:rsidRPr="007579FB" w:rsidRDefault="00E2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Fundacja Rozwoju Przedsiębiorczości „CONSILIUM”</w:t>
            </w:r>
          </w:p>
        </w:tc>
        <w:tc>
          <w:tcPr>
            <w:tcW w:w="1685" w:type="dxa"/>
          </w:tcPr>
          <w:p w:rsidR="007579FB" w:rsidRDefault="0075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E23A0F">
              <w:rPr>
                <w:rFonts w:ascii="Times New Roman" w:hAnsi="Times New Roman" w:cs="Times New Roman"/>
                <w:sz w:val="24"/>
                <w:szCs w:val="24"/>
              </w:rPr>
              <w:t>Witosa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55B92" w:rsidRDefault="00E23A0F" w:rsidP="00E2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33-23</w:t>
            </w:r>
            <w:r w:rsidR="007579F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Szczucin</w:t>
            </w:r>
          </w:p>
        </w:tc>
        <w:tc>
          <w:tcPr>
            <w:tcW w:w="3249" w:type="dxa"/>
          </w:tcPr>
          <w:p w:rsidR="00E55B92" w:rsidRDefault="00E23A0F" w:rsidP="00E55B92">
            <w:pPr>
              <w:pStyle w:val="Akapitzlist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poniedziałek: od 12.00 do 16.00</w:t>
            </w:r>
          </w:p>
          <w:p w:rsidR="00E23A0F" w:rsidRPr="00E23A0F" w:rsidRDefault="00E23A0F" w:rsidP="00E55B92">
            <w:pPr>
              <w:pStyle w:val="Akapitzlist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wtorek: od 12.00 do 16.00</w:t>
            </w:r>
          </w:p>
          <w:p w:rsidR="00E55B92" w:rsidRPr="00E55B92" w:rsidRDefault="00E55B92" w:rsidP="00E55B92">
            <w:pPr>
              <w:pStyle w:val="Akapitzlist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B92">
              <w:rPr>
                <w:rFonts w:ascii="Times New Roman" w:hAnsi="Times New Roman" w:cs="Times New Roman"/>
                <w:sz w:val="24"/>
                <w:szCs w:val="24"/>
              </w:rPr>
              <w:t>środa: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B9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23A0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55B92">
              <w:rPr>
                <w:rFonts w:ascii="Times New Roman" w:hAnsi="Times New Roman" w:cs="Times New Roman"/>
                <w:sz w:val="24"/>
                <w:szCs w:val="24"/>
              </w:rPr>
              <w:t>.00 do 1</w:t>
            </w:r>
            <w:r w:rsidR="00E2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5B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5B92" w:rsidRPr="00E55B92" w:rsidRDefault="00E55B92" w:rsidP="00E55B92">
            <w:pPr>
              <w:pStyle w:val="Akapitzlist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B92">
              <w:rPr>
                <w:rFonts w:ascii="Times New Roman" w:hAnsi="Times New Roman" w:cs="Times New Roman"/>
                <w:sz w:val="24"/>
                <w:szCs w:val="24"/>
              </w:rPr>
              <w:t>czwartek: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B92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E2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5B92">
              <w:rPr>
                <w:rFonts w:ascii="Times New Roman" w:hAnsi="Times New Roman" w:cs="Times New Roman"/>
                <w:sz w:val="24"/>
                <w:szCs w:val="24"/>
              </w:rPr>
              <w:t>.00 do 1</w:t>
            </w:r>
            <w:r w:rsidR="00E23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5B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5B92" w:rsidRDefault="00E55B92" w:rsidP="00E55B92">
            <w:pPr>
              <w:pStyle w:val="Akapitzlist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piątek: </w:t>
            </w:r>
            <w:r w:rsidR="00E23A0F">
              <w:rPr>
                <w:rFonts w:ascii="Times New Roman" w:hAnsi="Times New Roman" w:cs="Times New Roman"/>
                <w:sz w:val="24"/>
                <w:szCs w:val="24"/>
              </w:rPr>
              <w:t>od 8</w:t>
            </w:r>
            <w:r w:rsidRPr="00E55B92">
              <w:rPr>
                <w:rFonts w:ascii="Times New Roman" w:hAnsi="Times New Roman" w:cs="Times New Roman"/>
                <w:sz w:val="24"/>
                <w:szCs w:val="24"/>
              </w:rPr>
              <w:t>.00 do 1</w:t>
            </w:r>
            <w:r w:rsidR="00E2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5B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5B92" w:rsidRDefault="00E55B92" w:rsidP="00E55B92">
            <w:pPr>
              <w:pStyle w:val="Akapitzlist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5B92" w:rsidRDefault="00E55B92" w:rsidP="00A27155">
            <w:pPr>
              <w:pStyle w:val="Akapitzlist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55B92" w:rsidRDefault="0075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Arial Black" w:hAnsi="Arial Black" w:cs="Times New Roman"/>
                <w:b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  <w:t>14 642 21 93</w:t>
            </w:r>
          </w:p>
        </w:tc>
      </w:tr>
    </w:tbl>
    <w:p w:rsidR="00E55B92" w:rsidRPr="00A9072D" w:rsidRDefault="00E55B92">
      <w:pPr>
        <w:rPr>
          <w:rFonts w:ascii="Times New Roman" w:hAnsi="Times New Roman" w:cs="Times New Roman"/>
          <w:sz w:val="24"/>
          <w:szCs w:val="24"/>
        </w:rPr>
      </w:pPr>
    </w:p>
    <w:sectPr w:rsidR="00E55B92" w:rsidRPr="00A9072D" w:rsidSect="0085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66" w:rsidRDefault="00391F66" w:rsidP="0045295C">
      <w:pPr>
        <w:spacing w:after="0" w:line="240" w:lineRule="auto"/>
      </w:pPr>
      <w:r>
        <w:separator/>
      </w:r>
    </w:p>
  </w:endnote>
  <w:endnote w:type="continuationSeparator" w:id="1">
    <w:p w:rsidR="00391F66" w:rsidRDefault="00391F66" w:rsidP="004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66" w:rsidRDefault="00391F66" w:rsidP="0045295C">
      <w:pPr>
        <w:spacing w:after="0" w:line="240" w:lineRule="auto"/>
      </w:pPr>
      <w:r>
        <w:separator/>
      </w:r>
    </w:p>
  </w:footnote>
  <w:footnote w:type="continuationSeparator" w:id="1">
    <w:p w:rsidR="00391F66" w:rsidRDefault="00391F66" w:rsidP="0045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D83"/>
    <w:multiLevelType w:val="hybridMultilevel"/>
    <w:tmpl w:val="5C14DB34"/>
    <w:lvl w:ilvl="0" w:tplc="AF70FB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8FC71AE"/>
    <w:multiLevelType w:val="hybridMultilevel"/>
    <w:tmpl w:val="E52C45E8"/>
    <w:lvl w:ilvl="0" w:tplc="AF70F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72D"/>
    <w:rsid w:val="00122CA2"/>
    <w:rsid w:val="00185F56"/>
    <w:rsid w:val="00333650"/>
    <w:rsid w:val="00391F66"/>
    <w:rsid w:val="0045295C"/>
    <w:rsid w:val="00494A2D"/>
    <w:rsid w:val="005C37DB"/>
    <w:rsid w:val="00647883"/>
    <w:rsid w:val="007579FB"/>
    <w:rsid w:val="00854C7F"/>
    <w:rsid w:val="00960EC4"/>
    <w:rsid w:val="00A27155"/>
    <w:rsid w:val="00A9072D"/>
    <w:rsid w:val="00B9612C"/>
    <w:rsid w:val="00BF1149"/>
    <w:rsid w:val="00C06712"/>
    <w:rsid w:val="00D25402"/>
    <w:rsid w:val="00DE22C3"/>
    <w:rsid w:val="00E23A0F"/>
    <w:rsid w:val="00E55B92"/>
    <w:rsid w:val="00E87966"/>
    <w:rsid w:val="00F6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295C"/>
  </w:style>
  <w:style w:type="paragraph" w:styleId="Stopka">
    <w:name w:val="footer"/>
    <w:basedOn w:val="Normalny"/>
    <w:link w:val="StopkaZnak"/>
    <w:uiPriority w:val="99"/>
    <w:semiHidden/>
    <w:unhideWhenUsed/>
    <w:rsid w:val="0045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295C"/>
  </w:style>
  <w:style w:type="paragraph" w:styleId="Tekstdymka">
    <w:name w:val="Balloon Text"/>
    <w:basedOn w:val="Normalny"/>
    <w:link w:val="TekstdymkaZnak"/>
    <w:uiPriority w:val="99"/>
    <w:semiHidden/>
    <w:unhideWhenUsed/>
    <w:rsid w:val="004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Rzepka</dc:creator>
  <cp:keywords/>
  <dc:description/>
  <cp:lastModifiedBy>Anna Rzepka</cp:lastModifiedBy>
  <cp:revision>15</cp:revision>
  <cp:lastPrinted>2019-10-22T07:06:00Z</cp:lastPrinted>
  <dcterms:created xsi:type="dcterms:W3CDTF">2019-10-22T06:34:00Z</dcterms:created>
  <dcterms:modified xsi:type="dcterms:W3CDTF">2019-10-22T07:32:00Z</dcterms:modified>
</cp:coreProperties>
</file>