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AA" w:rsidRPr="00DE5F57" w:rsidRDefault="00FC4EB3" w:rsidP="00FC4EB3">
      <w:pPr>
        <w:pStyle w:val="Tytu"/>
        <w:ind w:left="2124" w:firstLine="708"/>
        <w:jc w:val="center"/>
        <w:rPr>
          <w:b/>
          <w:sz w:val="36"/>
          <w:szCs w:val="36"/>
        </w:rPr>
      </w:pPr>
      <w:r w:rsidRPr="00C86D12">
        <w:rPr>
          <w:noProof/>
          <w:sz w:val="56"/>
          <w:szCs w:val="56"/>
        </w:rPr>
        <w:drawing>
          <wp:anchor distT="0" distB="0" distL="114300" distR="114300" simplePos="0" relativeHeight="251663360" behindDoc="0" locked="0" layoutInCell="0" allowOverlap="0" wp14:anchorId="1B81416A" wp14:editId="48B743D8">
            <wp:simplePos x="0" y="0"/>
            <wp:positionH relativeFrom="column">
              <wp:posOffset>59689</wp:posOffset>
            </wp:positionH>
            <wp:positionV relativeFrom="paragraph">
              <wp:posOffset>-83820</wp:posOffset>
            </wp:positionV>
            <wp:extent cx="17811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777023" cy="513151"/>
                    </a:xfrm>
                    <a:prstGeom prst="rect">
                      <a:avLst/>
                    </a:prstGeom>
                  </pic:spPr>
                </pic:pic>
              </a:graphicData>
            </a:graphic>
            <wp14:sizeRelH relativeFrom="margin">
              <wp14:pctWidth>0</wp14:pctWidth>
            </wp14:sizeRelH>
            <wp14:sizeRelV relativeFrom="margin">
              <wp14:pctHeight>0</wp14:pctHeight>
            </wp14:sizeRelV>
          </wp:anchor>
        </w:drawing>
      </w:r>
      <w:r w:rsidR="00FB5142" w:rsidRPr="00DE5F57">
        <w:rPr>
          <w:b/>
          <w:sz w:val="36"/>
          <w:szCs w:val="36"/>
        </w:rPr>
        <w:t>500+ czyli świadczenie uzupełniające dla osób niezdolnych do samodzielnej egzystencji</w:t>
      </w:r>
    </w:p>
    <w:p w:rsidR="00A24EE4" w:rsidRDefault="00BF661F" w:rsidP="00C62947">
      <w:pPr>
        <w:pStyle w:val="Nagwek2"/>
      </w:pPr>
      <w:r>
        <w:t>WARUNKI PRZYZNANIA ŚWIADCZENIA UZUPEŁNIAJĄCEGO</w:t>
      </w:r>
    </w:p>
    <w:p w:rsidR="004C2BA9" w:rsidRDefault="004C2BA9" w:rsidP="00C62947">
      <w:r>
        <w:t xml:space="preserve">SU może otrzymać osoba, która </w:t>
      </w:r>
      <w:r w:rsidR="00BF661F">
        <w:t>spełniła łącznie następujące warunki</w:t>
      </w:r>
      <w:r>
        <w:t>:</w:t>
      </w:r>
    </w:p>
    <w:p w:rsidR="002F6D15" w:rsidRDefault="00A70B38" w:rsidP="002B7CA5">
      <w:pPr>
        <w:pStyle w:val="Akapitzlist"/>
        <w:numPr>
          <w:ilvl w:val="0"/>
          <w:numId w:val="3"/>
        </w:numPr>
        <w:ind w:left="527" w:hanging="357"/>
        <w:jc w:val="both"/>
      </w:pPr>
      <w:r>
        <w:t>jest obywatelem Rzeczypospolitej Polskiej lub cudzoziemcem legalnie przebywającym na terytorium RP,</w:t>
      </w:r>
    </w:p>
    <w:p w:rsidR="001523AC" w:rsidRDefault="00A70B38" w:rsidP="002B7CA5">
      <w:pPr>
        <w:pStyle w:val="Akapitzlist"/>
        <w:numPr>
          <w:ilvl w:val="0"/>
          <w:numId w:val="3"/>
        </w:numPr>
        <w:ind w:left="527" w:hanging="357"/>
        <w:jc w:val="both"/>
      </w:pPr>
      <w:r>
        <w:t>zamieszkuje na terytorium Rzeczypospolitej Polskiej,</w:t>
      </w:r>
    </w:p>
    <w:p w:rsidR="00A70B38" w:rsidRDefault="00A70B38" w:rsidP="002B7CA5">
      <w:pPr>
        <w:pStyle w:val="Akapitzlist"/>
        <w:numPr>
          <w:ilvl w:val="0"/>
          <w:numId w:val="3"/>
        </w:numPr>
        <w:ind w:left="527" w:hanging="357"/>
        <w:jc w:val="both"/>
      </w:pPr>
      <w:r>
        <w:t>ukończyła 18 lat,</w:t>
      </w:r>
    </w:p>
    <w:p w:rsidR="00A70B38" w:rsidRDefault="00A70B38" w:rsidP="002B7CA5">
      <w:pPr>
        <w:pStyle w:val="Akapitzlist"/>
        <w:numPr>
          <w:ilvl w:val="0"/>
          <w:numId w:val="3"/>
        </w:numPr>
        <w:ind w:left="527" w:hanging="357"/>
        <w:jc w:val="both"/>
      </w:pPr>
      <w:r>
        <w:t>jest niezdolna do samodzielnej egzystencji i niezdolność ta została stwierdzona właściwym orzeczeniem,</w:t>
      </w:r>
    </w:p>
    <w:p w:rsidR="00A726DD" w:rsidRDefault="00A726DD" w:rsidP="002B7CA5">
      <w:pPr>
        <w:pStyle w:val="Akapitzlist"/>
        <w:numPr>
          <w:ilvl w:val="0"/>
          <w:numId w:val="3"/>
        </w:numPr>
        <w:ind w:left="527" w:hanging="357"/>
        <w:jc w:val="both"/>
      </w:pPr>
      <w:r>
        <w:t xml:space="preserve">oraz: </w:t>
      </w:r>
    </w:p>
    <w:p w:rsidR="00A70B38" w:rsidRDefault="00A726DD" w:rsidP="00646719">
      <w:pPr>
        <w:pStyle w:val="Akapitzlist"/>
        <w:numPr>
          <w:ilvl w:val="0"/>
          <w:numId w:val="6"/>
        </w:numPr>
        <w:ind w:left="851"/>
        <w:jc w:val="both"/>
      </w:pPr>
      <w:r>
        <w:t>nie jest uprawniona do emerytury ani renty, nie ma ustalonego prawa do innego świadczenia pieniężnego finansowanego ze środków publicznych, np. zasiłek stały, zasiłek okresowy (warunek nie dotyczy jednorazowych świadczeń) ani nie jest uprawniona do świadczeń z zagranicznej instytucji właściwej do spraw emerytalno – rentowych, albo</w:t>
      </w:r>
    </w:p>
    <w:p w:rsidR="00FF07AD" w:rsidRDefault="00A726DD" w:rsidP="00646719">
      <w:pPr>
        <w:pStyle w:val="Akapitzlist"/>
        <w:numPr>
          <w:ilvl w:val="0"/>
          <w:numId w:val="6"/>
        </w:numPr>
        <w:ind w:left="851"/>
        <w:jc w:val="both"/>
      </w:pPr>
      <w:r>
        <w:t xml:space="preserve">jest uprawniona do w/w świadczeń (emerytury, renty albo inne świadczenia pieniężne finansowane ze środków publicznych, łącznie z kwotą wypłacaną przez zagraniczną instytucję właściwą do spraw emerytalno </w:t>
      </w:r>
      <w:r w:rsidR="00FF07AD">
        <w:t>–</w:t>
      </w:r>
      <w:r>
        <w:t xml:space="preserve"> rentowych</w:t>
      </w:r>
      <w:r w:rsidR="00FF07AD">
        <w:t>),</w:t>
      </w:r>
    </w:p>
    <w:p w:rsidR="00FF07AD" w:rsidRPr="00FF07AD" w:rsidRDefault="00FF07AD" w:rsidP="00646719">
      <w:pPr>
        <w:pStyle w:val="Akapitzlist"/>
        <w:ind w:left="851"/>
        <w:jc w:val="both"/>
        <w:rPr>
          <w:b/>
        </w:rPr>
      </w:pPr>
      <w:r w:rsidRPr="00FF07AD">
        <w:rPr>
          <w:b/>
        </w:rPr>
        <w:t>ale ich łączna wysokość</w:t>
      </w:r>
      <w:r w:rsidR="00D62525">
        <w:rPr>
          <w:b/>
        </w:rPr>
        <w:t xml:space="preserve"> brutto nie przekracza 1 600 zł</w:t>
      </w:r>
    </w:p>
    <w:p w:rsidR="00A01351" w:rsidRPr="009A09D3" w:rsidRDefault="001D0BFC" w:rsidP="009A09D3">
      <w:pPr>
        <w:pBdr>
          <w:top w:val="single" w:sz="4" w:space="1" w:color="auto"/>
          <w:left w:val="single" w:sz="4" w:space="0" w:color="auto"/>
          <w:bottom w:val="single" w:sz="4" w:space="1" w:color="auto"/>
          <w:right w:val="single" w:sz="4" w:space="4" w:color="auto"/>
        </w:pBdr>
        <w:jc w:val="center"/>
        <w:rPr>
          <w:b/>
          <w:color w:val="17365D" w:themeColor="text2" w:themeShade="BF"/>
          <w:sz w:val="24"/>
          <w:szCs w:val="24"/>
        </w:rPr>
      </w:pPr>
      <w:r>
        <w:rPr>
          <w:b/>
          <w:color w:val="17365D" w:themeColor="text2" w:themeShade="BF"/>
          <w:sz w:val="24"/>
          <w:szCs w:val="24"/>
        </w:rPr>
        <w:t xml:space="preserve">WAŻNE!!! Przy ustalaniu kwoty 1 600 zł nie uwzględnia się kwoty renty rodzinnej przyznanej dziecku, które stało się całkowicie niezdolne do pracy oraz do samodzielnej egzystencji </w:t>
      </w:r>
      <w:r w:rsidR="00A726DD">
        <w:rPr>
          <w:b/>
          <w:color w:val="17365D" w:themeColor="text2" w:themeShade="BF"/>
          <w:sz w:val="24"/>
          <w:szCs w:val="24"/>
        </w:rPr>
        <w:t>lub całkowicie niezdolne do pracy przed ukończeniem 16 roku życia lub w czasie nauki w szkole przed ukończeniem 25 roku życia</w:t>
      </w:r>
    </w:p>
    <w:p w:rsidR="00D90E40" w:rsidRDefault="00F27F86" w:rsidP="00B016F5">
      <w:pPr>
        <w:jc w:val="both"/>
        <w:rPr>
          <w:b/>
        </w:rPr>
      </w:pPr>
      <w:r>
        <w:rPr>
          <w:b/>
        </w:rPr>
        <w:t>Pobyt w ZOL</w:t>
      </w:r>
      <w:r w:rsidR="00733BAA">
        <w:rPr>
          <w:b/>
        </w:rPr>
        <w:t xml:space="preserve"> lub w zakładzie </w:t>
      </w:r>
      <w:proofErr w:type="spellStart"/>
      <w:r w:rsidR="00733BAA">
        <w:rPr>
          <w:b/>
        </w:rPr>
        <w:t>pielęgnacyjno</w:t>
      </w:r>
      <w:proofErr w:type="spellEnd"/>
      <w:r w:rsidR="00733BAA">
        <w:rPr>
          <w:b/>
        </w:rPr>
        <w:t xml:space="preserve"> – opiekuńczym </w:t>
      </w:r>
      <w:r>
        <w:rPr>
          <w:b/>
        </w:rPr>
        <w:t xml:space="preserve">(np. DPS) </w:t>
      </w:r>
      <w:r w:rsidR="00733BAA">
        <w:rPr>
          <w:b/>
        </w:rPr>
        <w:t xml:space="preserve">nie stanowi przeszkody do przyznania i pobierania świadczenia uzupełniającego. </w:t>
      </w:r>
    </w:p>
    <w:p w:rsidR="00733BAA" w:rsidRPr="008436F8" w:rsidRDefault="00733BAA" w:rsidP="00733BAA">
      <w:pPr>
        <w:pStyle w:val="Nagwek2"/>
      </w:pPr>
      <w:r>
        <w:t>WARUNEK NIEZDOLNOŚCI DO SAMODZIELNEJ EGZYSTENCJI</w:t>
      </w:r>
    </w:p>
    <w:p w:rsidR="00AA5D47" w:rsidRDefault="00733BAA" w:rsidP="00B016F5">
      <w:pPr>
        <w:jc w:val="both"/>
        <w:rPr>
          <w:b/>
        </w:rPr>
      </w:pPr>
      <w:r>
        <w:t xml:space="preserve">Niezdolność do samodzielnej egzystencji </w:t>
      </w:r>
      <w:r w:rsidR="00B205A8">
        <w:rPr>
          <w:b/>
        </w:rPr>
        <w:t>może zostać stwierdzona tylko poniższymi orzeczeniami:</w:t>
      </w:r>
    </w:p>
    <w:p w:rsidR="00B205A8" w:rsidRPr="00D62525" w:rsidRDefault="00B205A8" w:rsidP="00646719">
      <w:pPr>
        <w:pStyle w:val="Akapitzlist"/>
        <w:numPr>
          <w:ilvl w:val="0"/>
          <w:numId w:val="7"/>
        </w:numPr>
        <w:ind w:left="527" w:hanging="357"/>
        <w:jc w:val="both"/>
        <w:rPr>
          <w:b/>
        </w:rPr>
      </w:pPr>
      <w:r>
        <w:t xml:space="preserve">orzeczeniem o całkowitej niezdolności do pracy </w:t>
      </w:r>
      <w:r w:rsidR="00CB5987">
        <w:t>i niezdolności do samodzielnej egzystencji</w:t>
      </w:r>
      <w:r w:rsidR="00746B37">
        <w:t xml:space="preserve"> </w:t>
      </w:r>
      <w:r w:rsidR="00C250AC">
        <w:t xml:space="preserve"> </w:t>
      </w:r>
      <w:r w:rsidR="00C250AC" w:rsidRPr="00D62525">
        <w:rPr>
          <w:b/>
        </w:rPr>
        <w:t>(orzeczenie wydane przez ZUS),</w:t>
      </w:r>
    </w:p>
    <w:p w:rsidR="00C250AC" w:rsidRDefault="00C250AC" w:rsidP="00646719">
      <w:pPr>
        <w:pStyle w:val="Akapitzlist"/>
        <w:numPr>
          <w:ilvl w:val="0"/>
          <w:numId w:val="7"/>
        </w:numPr>
        <w:ind w:left="527" w:hanging="357"/>
        <w:jc w:val="both"/>
      </w:pPr>
      <w:r>
        <w:t xml:space="preserve">orzeczeniem o niezdolności do samodzielnej egzystencji </w:t>
      </w:r>
      <w:r w:rsidRPr="00D62525">
        <w:rPr>
          <w:b/>
        </w:rPr>
        <w:t>(orzeczenie wydane przez ZUS),</w:t>
      </w:r>
    </w:p>
    <w:p w:rsidR="00C250AC" w:rsidRDefault="00C250AC" w:rsidP="00646719">
      <w:pPr>
        <w:pStyle w:val="Akapitzlist"/>
        <w:numPr>
          <w:ilvl w:val="0"/>
          <w:numId w:val="7"/>
        </w:numPr>
        <w:ind w:left="527" w:hanging="357"/>
        <w:jc w:val="both"/>
      </w:pPr>
      <w:r>
        <w:t xml:space="preserve">orzeczenie o całkowitej niezdolności do pracy w gospodarstwie </w:t>
      </w:r>
      <w:r w:rsidR="0006428A">
        <w:t>rolnym i niezdolności do samodzielnej egzystencji,</w:t>
      </w:r>
    </w:p>
    <w:p w:rsidR="0006428A" w:rsidRDefault="0006428A" w:rsidP="00646719">
      <w:pPr>
        <w:pStyle w:val="Akapitzlist"/>
        <w:numPr>
          <w:ilvl w:val="0"/>
          <w:numId w:val="7"/>
        </w:numPr>
        <w:ind w:left="527" w:hanging="357"/>
        <w:jc w:val="both"/>
      </w:pPr>
      <w:r>
        <w:t>orzeczeniem o całkowitej niezdolności do służby i niezdolności do samodzielnej egzystencji,</w:t>
      </w:r>
    </w:p>
    <w:p w:rsidR="0006428A" w:rsidRDefault="0006428A" w:rsidP="00646719">
      <w:pPr>
        <w:pStyle w:val="Akapitzlist"/>
        <w:numPr>
          <w:ilvl w:val="0"/>
          <w:numId w:val="7"/>
        </w:numPr>
        <w:ind w:left="527" w:hanging="357"/>
        <w:jc w:val="both"/>
      </w:pPr>
      <w:r>
        <w:t>orzeczeniem o zaliczeniu do I grupy inwalidzkiej wydane przez komisję lekarską ds. inwalidztwa i zatrudnienia dla celów rentowych przed 1 września 1997 r., które nadal zachowało swoją ważność, pod warunkiem, że nadal przysługuje świadczenie ustalone w oparciu o to orzeczenie.</w:t>
      </w:r>
    </w:p>
    <w:p w:rsidR="00A4601E" w:rsidRPr="00EA3ADD" w:rsidRDefault="00A4601E" w:rsidP="00EA3ADD">
      <w:pPr>
        <w:pBdr>
          <w:top w:val="single" w:sz="4" w:space="1" w:color="auto"/>
          <w:left w:val="single" w:sz="4" w:space="4" w:color="auto"/>
          <w:bottom w:val="single" w:sz="4" w:space="1" w:color="auto"/>
          <w:right w:val="single" w:sz="4" w:space="4" w:color="auto"/>
        </w:pBdr>
        <w:ind w:left="360"/>
        <w:jc w:val="center"/>
        <w:rPr>
          <w:b/>
          <w:color w:val="17365D" w:themeColor="text2" w:themeShade="BF"/>
          <w:sz w:val="24"/>
          <w:szCs w:val="24"/>
        </w:rPr>
      </w:pPr>
      <w:r w:rsidRPr="00EA3ADD">
        <w:rPr>
          <w:b/>
          <w:color w:val="17365D" w:themeColor="text2" w:themeShade="BF"/>
          <w:sz w:val="24"/>
          <w:szCs w:val="24"/>
        </w:rPr>
        <w:t xml:space="preserve">WAŻNE!!! </w:t>
      </w:r>
      <w:r w:rsidR="0006428A">
        <w:rPr>
          <w:b/>
          <w:color w:val="17365D" w:themeColor="text2" w:themeShade="BF"/>
          <w:sz w:val="24"/>
          <w:szCs w:val="24"/>
        </w:rPr>
        <w:t xml:space="preserve">Jeżeli wnioskodawca nie </w:t>
      </w:r>
      <w:r w:rsidR="00AA574B">
        <w:rPr>
          <w:b/>
          <w:color w:val="17365D" w:themeColor="text2" w:themeShade="BF"/>
          <w:sz w:val="24"/>
          <w:szCs w:val="24"/>
        </w:rPr>
        <w:t xml:space="preserve">ma orzeczenia potwierdzającego niezdolność do samodzielnej egzystencji albo upłynął okres na który zostało wydane, do wniosku o świadczenie uzupełniające należy dołączyć zaświadczenie o stanie zdrowia wydane przez lekarza nie wcześniej niż na miesiąc przed złożeniem wniosku oraz  dokumentację medyczną, jeżeli wnioskodawca ją posiada </w:t>
      </w:r>
    </w:p>
    <w:p w:rsidR="00D27855" w:rsidRPr="00D62525" w:rsidRDefault="00D27855" w:rsidP="009C1B94">
      <w:pPr>
        <w:jc w:val="both"/>
        <w:rPr>
          <w:b/>
        </w:rPr>
      </w:pPr>
      <w:r w:rsidRPr="00D62525">
        <w:rPr>
          <w:b/>
        </w:rPr>
        <w:t xml:space="preserve">Prawo do świadczenia uzupełniającego ustala się na okres, na który </w:t>
      </w:r>
      <w:r w:rsidR="00911F4F" w:rsidRPr="00D62525">
        <w:rPr>
          <w:b/>
        </w:rPr>
        <w:t>została orzeczona niezdolność do samodzielnej egzystencji</w:t>
      </w:r>
      <w:r w:rsidR="009C1B94" w:rsidRPr="00D62525">
        <w:rPr>
          <w:b/>
        </w:rPr>
        <w:t xml:space="preserve">. </w:t>
      </w:r>
    </w:p>
    <w:p w:rsidR="00922AF9" w:rsidRDefault="00922AF9" w:rsidP="00922AF9">
      <w:pPr>
        <w:pStyle w:val="Nagwek2"/>
      </w:pPr>
      <w:r>
        <w:t>WYSOKOŚĆ ŚWIADCZENIA UZUPEŁNIAJĄCEGO</w:t>
      </w:r>
    </w:p>
    <w:p w:rsidR="00922AF9" w:rsidRPr="00306475" w:rsidRDefault="00922AF9" w:rsidP="0068720A">
      <w:pPr>
        <w:spacing w:after="120"/>
        <w:jc w:val="both"/>
      </w:pPr>
      <w:r>
        <w:rPr>
          <w:b/>
        </w:rPr>
        <w:t xml:space="preserve">Wysokość świadczenia uzupełniającego = 1600 zł </w:t>
      </w:r>
      <w:r>
        <w:t xml:space="preserve">minus </w:t>
      </w:r>
      <w:r>
        <w:rPr>
          <w:b/>
        </w:rPr>
        <w:t xml:space="preserve">suma świadczeń </w:t>
      </w:r>
      <w:r w:rsidR="0068720A">
        <w:t xml:space="preserve">pieniężnych </w:t>
      </w:r>
      <w:r w:rsidR="00306475">
        <w:t>finansowanych ze</w:t>
      </w:r>
      <w:r>
        <w:t xml:space="preserve"> środków publiczn</w:t>
      </w:r>
      <w:r w:rsidR="0068720A">
        <w:t xml:space="preserve">ych, </w:t>
      </w:r>
      <w:r>
        <w:rPr>
          <w:b/>
        </w:rPr>
        <w:t>nie więcej niż 500 zł</w:t>
      </w:r>
    </w:p>
    <w:p w:rsidR="00922AF9" w:rsidRPr="00922AF9" w:rsidRDefault="00922AF9" w:rsidP="00922AF9">
      <w:pPr>
        <w:pStyle w:val="Nagwek3"/>
        <w:jc w:val="center"/>
        <w:rPr>
          <w:color w:val="17365D" w:themeColor="text2" w:themeShade="BF"/>
        </w:rPr>
      </w:pPr>
      <w:r w:rsidRPr="00922AF9">
        <w:rPr>
          <w:color w:val="17365D" w:themeColor="text2" w:themeShade="BF"/>
        </w:rPr>
        <w:t>ŚWIADCZENIE UZUPEŁNIAJĄCE PRZYSŁUGUJE W WYSOKOŚCI:</w:t>
      </w:r>
    </w:p>
    <w:p w:rsidR="00922AF9" w:rsidRDefault="00922AF9" w:rsidP="00922AF9">
      <w:r w:rsidRPr="00922AF9">
        <w:rPr>
          <w:b/>
          <w:noProof/>
          <w:lang w:eastAsia="pl-PL"/>
        </w:rPr>
        <mc:AlternateContent>
          <mc:Choice Requires="wps">
            <w:drawing>
              <wp:anchor distT="0" distB="0" distL="114300" distR="114300" simplePos="0" relativeHeight="251659264" behindDoc="0" locked="0" layoutInCell="1" allowOverlap="1" wp14:anchorId="76EC6423" wp14:editId="65CA91B7">
                <wp:simplePos x="0" y="0"/>
                <wp:positionH relativeFrom="column">
                  <wp:posOffset>3175635</wp:posOffset>
                </wp:positionH>
                <wp:positionV relativeFrom="paragraph">
                  <wp:posOffset>90170</wp:posOffset>
                </wp:positionV>
                <wp:extent cx="2847975" cy="476250"/>
                <wp:effectExtent l="114300" t="114300" r="161925" b="171450"/>
                <wp:wrapNone/>
                <wp:docPr id="12" name="Elipsa 11"/>
                <wp:cNvGraphicFramePr/>
                <a:graphic xmlns:a="http://schemas.openxmlformats.org/drawingml/2006/main">
                  <a:graphicData uri="http://schemas.microsoft.com/office/word/2010/wordprocessingShape">
                    <wps:wsp>
                      <wps:cNvSpPr/>
                      <wps:spPr>
                        <a:xfrm>
                          <a:off x="0" y="0"/>
                          <a:ext cx="2847975" cy="476250"/>
                        </a:xfrm>
                        <a:prstGeom prst="ellipse">
                          <a:avLst/>
                        </a:prstGeom>
                        <a:solidFill>
                          <a:schemeClr val="accent2">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500 ZŁOTYCH</w:t>
                            </w:r>
                          </w:p>
                        </w:txbxContent>
                      </wps:txbx>
                      <wps:bodyPr rot="0" spcFirstLastPara="1" vertOverflow="overflow" horzOverflow="overflow" vert="horz" wrap="square" lIns="50800" tIns="50800" rIns="50800" bIns="50800" numCol="1" spcCol="38100" rtlCol="0" anchor="ctr">
                        <a:noAutofit/>
                      </wps:bodyPr>
                    </wps:wsp>
                  </a:graphicData>
                </a:graphic>
                <wp14:sizeRelH relativeFrom="margin">
                  <wp14:pctWidth>0</wp14:pctWidth>
                </wp14:sizeRelH>
                <wp14:sizeRelV relativeFrom="margin">
                  <wp14:pctHeight>0</wp14:pctHeight>
                </wp14:sizeRelV>
              </wp:anchor>
            </w:drawing>
          </mc:Choice>
          <mc:Fallback>
            <w:pict>
              <v:oval id="Elipsa 11" o:spid="_x0000_s1026" style="position:absolute;margin-left:250.05pt;margin-top:7.1pt;width:22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" fillcolor="#e5b8b7 [1301]" stroked="f" strokeweight="3pt">
                <v:shadow on="t" color="black" offset="0,1pt"/>
                <v:textbox inset="4pt,4pt,4pt,4pt">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500 ZŁOTYCH</w:t>
                      </w:r>
                    </w:p>
                  </w:txbxContent>
                </v:textbox>
              </v:oval>
            </w:pict>
          </mc:Fallback>
        </mc:AlternateContent>
      </w:r>
    </w:p>
    <w:p w:rsidR="00922AF9" w:rsidRDefault="00922AF9" w:rsidP="00922AF9"/>
    <w:p w:rsidR="00922AF9" w:rsidRDefault="00646719" w:rsidP="00922AF9">
      <w:pPr>
        <w:jc w:val="center"/>
      </w:pPr>
      <w:r>
        <w:rPr>
          <w:noProof/>
          <w:lang w:eastAsia="pl-PL"/>
        </w:rPr>
        <mc:AlternateContent>
          <mc:Choice Requires="wps">
            <w:drawing>
              <wp:anchor distT="0" distB="0" distL="114300" distR="114300" simplePos="0" relativeHeight="251661312" behindDoc="0" locked="0" layoutInCell="1" allowOverlap="1" wp14:anchorId="0F64814A" wp14:editId="1DC09AC6">
                <wp:simplePos x="0" y="0"/>
                <wp:positionH relativeFrom="column">
                  <wp:posOffset>3091180</wp:posOffset>
                </wp:positionH>
                <wp:positionV relativeFrom="paragraph">
                  <wp:posOffset>286385</wp:posOffset>
                </wp:positionV>
                <wp:extent cx="3067050" cy="663575"/>
                <wp:effectExtent l="114300" t="114300" r="152400" b="165735"/>
                <wp:wrapNone/>
                <wp:docPr id="18" name="Elipsa 17"/>
                <wp:cNvGraphicFramePr/>
                <a:graphic xmlns:a="http://schemas.openxmlformats.org/drawingml/2006/main">
                  <a:graphicData uri="http://schemas.microsoft.com/office/word/2010/wordprocessingShape">
                    <wps:wsp>
                      <wps:cNvSpPr/>
                      <wps:spPr>
                        <a:xfrm>
                          <a:off x="0" y="0"/>
                          <a:ext cx="3067050" cy="663575"/>
                        </a:xfrm>
                        <a:prstGeom prst="ellipse">
                          <a:avLst/>
                        </a:prstGeom>
                        <a:solidFill>
                          <a:schemeClr val="accent2">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niższej niż 500 ZŁOTYCH</w:t>
                            </w:r>
                          </w:p>
                        </w:txbxContent>
                      </wps:txbx>
                      <wps:bodyPr rot="0" spcFirstLastPara="1" vertOverflow="overflow" horzOverflow="overflow" vert="horz" wrap="square" lIns="50800" tIns="50800" rIns="50800" bIns="50800" numCol="1" spcCol="38100" rtlCol="0" anchor="ctr">
                        <a:spAutoFit/>
                      </wps:bodyPr>
                    </wps:wsp>
                  </a:graphicData>
                </a:graphic>
                <wp14:sizeRelH relativeFrom="margin">
                  <wp14:pctWidth>0</wp14:pctWidth>
                </wp14:sizeRelH>
              </wp:anchor>
            </w:drawing>
          </mc:Choice>
          <mc:Fallback>
            <w:pict>
              <v:oval id="Elipsa 17" o:spid="_x0000_s1027" style="position:absolute;left:0;text-align:left;margin-left:243.4pt;margin-top:22.55pt;width:241.5pt;height:5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" fillcolor="#e5b8b7 [1301]" stroked="f" strokeweight="3pt">
                <v:shadow on="t" color="black" offset="0,1pt"/>
                <v:textbox style="mso-fit-shape-to-text:t" inset="4pt,4pt,4pt,4pt">
                  <w:txbxContent>
                    <w:p w:rsidR="00922AF9" w:rsidRPr="00646719" w:rsidRDefault="00922AF9" w:rsidP="00922AF9">
                      <w:pPr>
                        <w:pStyle w:val="NormalnyWeb"/>
                        <w:spacing w:before="0" w:beforeAutospacing="0" w:after="0" w:afterAutospacing="0"/>
                        <w:jc w:val="center"/>
                      </w:pPr>
                      <w:r w:rsidRPr="00646719">
                        <w:rPr>
                          <w:rFonts w:asciiTheme="minorHAnsi" w:hAnsi="Calibri" w:cstheme="minorBidi"/>
                          <w:b/>
                          <w:bCs/>
                          <w:color w:val="403152" w:themeColor="accent4" w:themeShade="80"/>
                        </w:rPr>
                        <w:t>niższej niż 500 ZŁOTYCH</w:t>
                      </w:r>
                    </w:p>
                  </w:txbxContent>
                </v:textbox>
              </v:oval>
            </w:pict>
          </mc:Fallback>
        </mc:AlternateContent>
      </w:r>
      <w:r w:rsidR="00922AF9">
        <w:t xml:space="preserve">Jeżeli suma świadczeń pieniężnych finansowanych ze środków publicznych </w:t>
      </w:r>
      <w:r w:rsidR="00922AF9">
        <w:rPr>
          <w:b/>
        </w:rPr>
        <w:t>nie przekracza 1100 zł</w:t>
      </w:r>
    </w:p>
    <w:p w:rsidR="00922AF9" w:rsidRPr="00922AF9" w:rsidRDefault="00922AF9" w:rsidP="00922AF9">
      <w:pPr>
        <w:jc w:val="center"/>
      </w:pPr>
    </w:p>
    <w:p w:rsidR="00922AF9" w:rsidRDefault="00922AF9" w:rsidP="00922AF9"/>
    <w:p w:rsidR="00187EF8" w:rsidRPr="00922AF9" w:rsidRDefault="00922AF9" w:rsidP="0068720A">
      <w:pPr>
        <w:jc w:val="center"/>
        <w:rPr>
          <w:b/>
        </w:rPr>
      </w:pPr>
      <w:r>
        <w:t xml:space="preserve">Jeżeli suma świadczeń pieniężnych finansowanych ze środków publicznych </w:t>
      </w:r>
      <w:r>
        <w:rPr>
          <w:b/>
        </w:rPr>
        <w:t>przekracza 1100 zł, a nie przekracza 1600 zł</w:t>
      </w:r>
    </w:p>
    <w:p w:rsidR="00922AF9" w:rsidRDefault="00187EF8" w:rsidP="00187EF8">
      <w:pPr>
        <w:pStyle w:val="Nagwek2"/>
      </w:pPr>
      <w:r>
        <w:t>POSTĘPOWANIE O PRZYZNANIE ŚWIADCZENIA UZUPEŁNIAJĄCEGO</w:t>
      </w:r>
    </w:p>
    <w:p w:rsidR="00187EF8" w:rsidRDefault="007B5A1D" w:rsidP="00187EF8">
      <w:pPr>
        <w:jc w:val="both"/>
      </w:pPr>
      <w:r>
        <w:t xml:space="preserve">Świadczenie uzupełniające, zwane 500+ dla osób niezdolnych do samodzielnej egzystencji przyznaje się na podstawie wniosku </w:t>
      </w:r>
      <w:r w:rsidR="00646719">
        <w:t>złożonego w organie właściwym</w:t>
      </w:r>
      <w:r>
        <w:t xml:space="preserve"> przez osobę zainteresowaną lub jej przedstawiciela ustawowego, pełnomocnika albo opiekuna faktycznego.</w:t>
      </w:r>
    </w:p>
    <w:p w:rsidR="000669A9" w:rsidRPr="00D62525" w:rsidRDefault="000669A9" w:rsidP="00187EF8">
      <w:pPr>
        <w:jc w:val="both"/>
        <w:rPr>
          <w:b/>
        </w:rPr>
      </w:pPr>
      <w:r w:rsidRPr="00D62525">
        <w:rPr>
          <w:b/>
        </w:rPr>
        <w:t>Do wniosku o świadczenie uzupełniające należy dołączyć:</w:t>
      </w:r>
    </w:p>
    <w:p w:rsidR="000669A9" w:rsidRDefault="000669A9" w:rsidP="00646719">
      <w:pPr>
        <w:pStyle w:val="Akapitzlist"/>
        <w:numPr>
          <w:ilvl w:val="0"/>
          <w:numId w:val="10"/>
        </w:numPr>
        <w:ind w:left="527" w:hanging="357"/>
        <w:jc w:val="both"/>
      </w:pPr>
      <w:r>
        <w:t>orzeczenie potwierdzające niezdolność do samodzielnej egzystencji (jeżeli wnioskodawca posiada jedno z wymienionych powyżej orzeczeń i nie przedłożył go wcześniej organowi rentowemu),</w:t>
      </w:r>
    </w:p>
    <w:p w:rsidR="000669A9" w:rsidRDefault="000669A9" w:rsidP="00646719">
      <w:pPr>
        <w:pStyle w:val="Akapitzlist"/>
        <w:numPr>
          <w:ilvl w:val="0"/>
          <w:numId w:val="10"/>
        </w:numPr>
        <w:ind w:left="527" w:hanging="357"/>
        <w:jc w:val="both"/>
      </w:pPr>
      <w:r>
        <w:t>prawomocny wyrok sądu przyznający dodatek pielęgnacyjny (jeżeli wyrok ten był wykonywany przez inny organ właściwy niż ZUS),</w:t>
      </w:r>
    </w:p>
    <w:p w:rsidR="000669A9" w:rsidRDefault="000669A9" w:rsidP="00646719">
      <w:pPr>
        <w:pStyle w:val="Akapitzlist"/>
        <w:numPr>
          <w:ilvl w:val="0"/>
          <w:numId w:val="10"/>
        </w:numPr>
        <w:ind w:left="527" w:hanging="357"/>
        <w:jc w:val="both"/>
      </w:pPr>
      <w:r w:rsidRPr="00646719">
        <w:rPr>
          <w:b/>
        </w:rPr>
        <w:t>dokumenty niezbędne do ustalenia niezdolności do samodzielnej egzystencji</w:t>
      </w:r>
      <w:r>
        <w:t xml:space="preserve"> (jeżeli wnioskodawca nie posiada jednego z wymienionych powyżej orzeczeń, nie ma orzeczonej I grupy inwalidzkiej i nie przyznano mu dodatku pielęgnacyjnego wyrokiem sądu), tj.:</w:t>
      </w:r>
    </w:p>
    <w:p w:rsidR="00B52638" w:rsidRDefault="000669A9" w:rsidP="00646719">
      <w:pPr>
        <w:pStyle w:val="Akapitzlist"/>
        <w:numPr>
          <w:ilvl w:val="0"/>
          <w:numId w:val="11"/>
        </w:numPr>
        <w:ind w:left="1208" w:hanging="357"/>
        <w:jc w:val="both"/>
      </w:pPr>
      <w:r>
        <w:t>zaświadczenie o stanie zdrowia</w:t>
      </w:r>
      <w:r w:rsidR="00A01351">
        <w:t xml:space="preserve"> </w:t>
      </w:r>
      <w:r>
        <w:t>(wydane przez lekarza nie wcześniej niż na miesiąc przed złożeniem wniosku),</w:t>
      </w:r>
    </w:p>
    <w:p w:rsidR="000669A9" w:rsidRDefault="000669A9" w:rsidP="00204104">
      <w:pPr>
        <w:pStyle w:val="Akapitzlist"/>
        <w:numPr>
          <w:ilvl w:val="0"/>
          <w:numId w:val="11"/>
        </w:numPr>
        <w:ind w:left="1208" w:hanging="357"/>
        <w:jc w:val="both"/>
      </w:pPr>
      <w:r>
        <w:t xml:space="preserve">dokumentację medyczną oraz inne dokumenty </w:t>
      </w:r>
      <w:r w:rsidR="00204104">
        <w:t xml:space="preserve">medyczne </w:t>
      </w:r>
      <w:r>
        <w:t>mające znaczenie dla w</w:t>
      </w:r>
      <w:r w:rsidR="00204104">
        <w:t>ydania orzeczenia,</w:t>
      </w:r>
    </w:p>
    <w:p w:rsidR="002E39F0" w:rsidRDefault="002E39F0" w:rsidP="00646719">
      <w:pPr>
        <w:pStyle w:val="Akapitzlist"/>
        <w:numPr>
          <w:ilvl w:val="0"/>
          <w:numId w:val="12"/>
        </w:numPr>
        <w:ind w:left="527" w:hanging="357"/>
        <w:jc w:val="both"/>
      </w:pPr>
      <w:r>
        <w:t>dokument potwierdzający prawo do emerytury i renty zagranicznej lub innego świadczenia zagranicznego o podobnym charakterze i ich wysokość, wystawiony przez zagraniczną instytucję właściwą do spraw emerytalno – rentowych (w przypadku osób uprawnionych do tych świadczeń),</w:t>
      </w:r>
    </w:p>
    <w:p w:rsidR="00DE5F57" w:rsidRDefault="002E39F0" w:rsidP="00DE5F57">
      <w:pPr>
        <w:pStyle w:val="Akapitzlist"/>
        <w:numPr>
          <w:ilvl w:val="0"/>
          <w:numId w:val="12"/>
        </w:numPr>
        <w:ind w:left="527" w:hanging="357"/>
        <w:jc w:val="both"/>
      </w:pPr>
      <w:r>
        <w:t>orzeczenie o znacznym stopniu n</w:t>
      </w:r>
      <w:r w:rsidR="00A01351">
        <w:t>iepełnosprawności wydane przed 1</w:t>
      </w:r>
      <w:r>
        <w:t xml:space="preserve"> października 2019 roku (w przypadku posiadania takie</w:t>
      </w:r>
      <w:r w:rsidR="00306475">
        <w:t>go orzeczenia)</w:t>
      </w:r>
    </w:p>
    <w:p w:rsidR="00FC4EB3" w:rsidRPr="00F27F86" w:rsidRDefault="00C86D12" w:rsidP="00FC4EB3">
      <w:pPr>
        <w:jc w:val="center"/>
        <w:rPr>
          <w:b/>
          <w:color w:val="17365D" w:themeColor="text2" w:themeShade="BF"/>
          <w:sz w:val="32"/>
          <w:szCs w:val="32"/>
        </w:rPr>
      </w:pPr>
      <w:bookmarkStart w:id="0" w:name="_GoBack"/>
      <w:r w:rsidRPr="00F27F86">
        <w:rPr>
          <w:b/>
          <w:color w:val="17365D" w:themeColor="text2" w:themeShade="BF"/>
          <w:sz w:val="32"/>
          <w:szCs w:val="32"/>
        </w:rPr>
        <w:t xml:space="preserve">SZCZEGÓŁOWE INFORMACJE ORAZ WNIOSKI DOSTĘPNE SĄ NA STRONIE </w:t>
      </w:r>
      <w:hyperlink r:id="rId10" w:history="1">
        <w:r w:rsidRPr="00F27F86">
          <w:rPr>
            <w:rStyle w:val="Hipercze"/>
            <w:b/>
            <w:color w:val="17365D" w:themeColor="text2" w:themeShade="BF"/>
            <w:sz w:val="32"/>
            <w:szCs w:val="32"/>
          </w:rPr>
          <w:t>www.zus.pl</w:t>
        </w:r>
      </w:hyperlink>
      <w:r w:rsidRPr="00F27F86">
        <w:rPr>
          <w:b/>
          <w:color w:val="17365D" w:themeColor="text2" w:themeShade="BF"/>
          <w:sz w:val="32"/>
          <w:szCs w:val="32"/>
        </w:rPr>
        <w:t xml:space="preserve"> oraz w placówkach ZUS</w:t>
      </w:r>
    </w:p>
    <w:bookmarkEnd w:id="0"/>
    <w:p w:rsidR="00C86D12" w:rsidRDefault="00C86D12" w:rsidP="00FC4EB3">
      <w:pPr>
        <w:jc w:val="center"/>
      </w:pPr>
    </w:p>
    <w:sectPr w:rsidR="00C86D12" w:rsidSect="00306475">
      <w:headerReference w:type="default" r:id="rId11"/>
      <w:pgSz w:w="16839" w:h="23814" w:code="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02" w:rsidRDefault="00645602" w:rsidP="002C2FCB">
      <w:pPr>
        <w:spacing w:after="0" w:line="240" w:lineRule="auto"/>
      </w:pPr>
      <w:r>
        <w:separator/>
      </w:r>
    </w:p>
  </w:endnote>
  <w:endnote w:type="continuationSeparator" w:id="0">
    <w:p w:rsidR="00645602" w:rsidRDefault="00645602" w:rsidP="002C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02" w:rsidRDefault="00645602" w:rsidP="002C2FCB">
      <w:pPr>
        <w:spacing w:after="0" w:line="240" w:lineRule="auto"/>
      </w:pPr>
      <w:r>
        <w:separator/>
      </w:r>
    </w:p>
  </w:footnote>
  <w:footnote w:type="continuationSeparator" w:id="0">
    <w:p w:rsidR="00645602" w:rsidRDefault="00645602" w:rsidP="002C2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849706"/>
      <w:placeholder>
        <w:docPart w:val="4FC82BE99463431B935D3B8C488F2B26"/>
      </w:placeholder>
      <w:temporary/>
      <w:showingPlcHdr/>
    </w:sdtPr>
    <w:sdtEndPr/>
    <w:sdtContent>
      <w:p w:rsidR="00C817C7" w:rsidRDefault="00C817C7">
        <w:pPr>
          <w:pStyle w:val="Nagwek"/>
        </w:pPr>
        <w:r>
          <w:t>[Wpisz tekst]</w:t>
        </w:r>
      </w:p>
    </w:sdtContent>
  </w:sdt>
  <w:p w:rsidR="00C817C7" w:rsidRDefault="00C817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10"/>
    <w:multiLevelType w:val="hybridMultilevel"/>
    <w:tmpl w:val="C17EA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29080C"/>
    <w:multiLevelType w:val="hybridMultilevel"/>
    <w:tmpl w:val="C3401F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E54732"/>
    <w:multiLevelType w:val="hybridMultilevel"/>
    <w:tmpl w:val="0E8C7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F563E0"/>
    <w:multiLevelType w:val="hybridMultilevel"/>
    <w:tmpl w:val="981CCF0E"/>
    <w:lvl w:ilvl="0" w:tplc="79D443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5123686"/>
    <w:multiLevelType w:val="hybridMultilevel"/>
    <w:tmpl w:val="04906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6A11BB"/>
    <w:multiLevelType w:val="hybridMultilevel"/>
    <w:tmpl w:val="C85C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4079B9"/>
    <w:multiLevelType w:val="hybridMultilevel"/>
    <w:tmpl w:val="9B489022"/>
    <w:lvl w:ilvl="0" w:tplc="0B9475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8C5880"/>
    <w:multiLevelType w:val="hybridMultilevel"/>
    <w:tmpl w:val="E0A8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44385A"/>
    <w:multiLevelType w:val="hybridMultilevel"/>
    <w:tmpl w:val="2690E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CF0860"/>
    <w:multiLevelType w:val="hybridMultilevel"/>
    <w:tmpl w:val="F704EB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E532905"/>
    <w:multiLevelType w:val="hybridMultilevel"/>
    <w:tmpl w:val="9C92FE1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731C5C14"/>
    <w:multiLevelType w:val="hybridMultilevel"/>
    <w:tmpl w:val="8026C460"/>
    <w:lvl w:ilvl="0" w:tplc="79D443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506269D"/>
    <w:multiLevelType w:val="hybridMultilevel"/>
    <w:tmpl w:val="0870E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
  </w:num>
  <w:num w:numId="5">
    <w:abstractNumId w:val="8"/>
  </w:num>
  <w:num w:numId="6">
    <w:abstractNumId w:val="3"/>
  </w:num>
  <w:num w:numId="7">
    <w:abstractNumId w:val="5"/>
  </w:num>
  <w:num w:numId="8">
    <w:abstractNumId w:val="0"/>
  </w:num>
  <w:num w:numId="9">
    <w:abstractNumId w:val="7"/>
  </w:num>
  <w:num w:numId="10">
    <w:abstractNumId w:val="2"/>
  </w:num>
  <w:num w:numId="11">
    <w:abstractNumId w:val="11"/>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83"/>
    <w:rsid w:val="00001CC3"/>
    <w:rsid w:val="000118C2"/>
    <w:rsid w:val="00014923"/>
    <w:rsid w:val="00023BE0"/>
    <w:rsid w:val="00026406"/>
    <w:rsid w:val="00046477"/>
    <w:rsid w:val="000578CC"/>
    <w:rsid w:val="000608EC"/>
    <w:rsid w:val="0006428A"/>
    <w:rsid w:val="000669A9"/>
    <w:rsid w:val="00095A2E"/>
    <w:rsid w:val="000D0743"/>
    <w:rsid w:val="000D477E"/>
    <w:rsid w:val="000E0227"/>
    <w:rsid w:val="000E47FD"/>
    <w:rsid w:val="000F225F"/>
    <w:rsid w:val="000F7CDE"/>
    <w:rsid w:val="00100DA7"/>
    <w:rsid w:val="001105BD"/>
    <w:rsid w:val="001262DF"/>
    <w:rsid w:val="001523AC"/>
    <w:rsid w:val="001651AD"/>
    <w:rsid w:val="00187EF8"/>
    <w:rsid w:val="001D0BFC"/>
    <w:rsid w:val="001E0CE1"/>
    <w:rsid w:val="001E3AAB"/>
    <w:rsid w:val="00204104"/>
    <w:rsid w:val="00205ADA"/>
    <w:rsid w:val="00221759"/>
    <w:rsid w:val="00231255"/>
    <w:rsid w:val="00240ECE"/>
    <w:rsid w:val="00244C63"/>
    <w:rsid w:val="002518EA"/>
    <w:rsid w:val="00267ADE"/>
    <w:rsid w:val="0027438E"/>
    <w:rsid w:val="00275044"/>
    <w:rsid w:val="002839D5"/>
    <w:rsid w:val="0029429E"/>
    <w:rsid w:val="002B7CA5"/>
    <w:rsid w:val="002C2FCB"/>
    <w:rsid w:val="002E39F0"/>
    <w:rsid w:val="002F6D15"/>
    <w:rsid w:val="00306475"/>
    <w:rsid w:val="003152B4"/>
    <w:rsid w:val="003203A9"/>
    <w:rsid w:val="00322DE6"/>
    <w:rsid w:val="00330058"/>
    <w:rsid w:val="00340AE5"/>
    <w:rsid w:val="003413CA"/>
    <w:rsid w:val="00352CF8"/>
    <w:rsid w:val="00362F93"/>
    <w:rsid w:val="00384318"/>
    <w:rsid w:val="003A2D24"/>
    <w:rsid w:val="003C522D"/>
    <w:rsid w:val="003D6E79"/>
    <w:rsid w:val="003E355D"/>
    <w:rsid w:val="003E4685"/>
    <w:rsid w:val="003E63E8"/>
    <w:rsid w:val="003F4B9A"/>
    <w:rsid w:val="0040064B"/>
    <w:rsid w:val="00440BE3"/>
    <w:rsid w:val="00442002"/>
    <w:rsid w:val="0045660B"/>
    <w:rsid w:val="00466844"/>
    <w:rsid w:val="00473E5A"/>
    <w:rsid w:val="00485B9C"/>
    <w:rsid w:val="004C2BA9"/>
    <w:rsid w:val="004D0DDC"/>
    <w:rsid w:val="004F39C1"/>
    <w:rsid w:val="00512D48"/>
    <w:rsid w:val="00562194"/>
    <w:rsid w:val="005A6EAE"/>
    <w:rsid w:val="005B0EE9"/>
    <w:rsid w:val="005D7DD2"/>
    <w:rsid w:val="005E5D4B"/>
    <w:rsid w:val="006317BF"/>
    <w:rsid w:val="00645602"/>
    <w:rsid w:val="00646719"/>
    <w:rsid w:val="006560CD"/>
    <w:rsid w:val="006740DD"/>
    <w:rsid w:val="00682290"/>
    <w:rsid w:val="0068720A"/>
    <w:rsid w:val="006973AA"/>
    <w:rsid w:val="006A2934"/>
    <w:rsid w:val="00733BAA"/>
    <w:rsid w:val="00741218"/>
    <w:rsid w:val="00746B37"/>
    <w:rsid w:val="00754DBF"/>
    <w:rsid w:val="00792EFE"/>
    <w:rsid w:val="00796D27"/>
    <w:rsid w:val="007B2187"/>
    <w:rsid w:val="007B5A1D"/>
    <w:rsid w:val="007B7245"/>
    <w:rsid w:val="007C0DAC"/>
    <w:rsid w:val="007C7977"/>
    <w:rsid w:val="007E1534"/>
    <w:rsid w:val="007E53C7"/>
    <w:rsid w:val="008128BA"/>
    <w:rsid w:val="00831A92"/>
    <w:rsid w:val="008436F8"/>
    <w:rsid w:val="00843D13"/>
    <w:rsid w:val="00847628"/>
    <w:rsid w:val="00862902"/>
    <w:rsid w:val="008D0AC7"/>
    <w:rsid w:val="008D2188"/>
    <w:rsid w:val="008D3007"/>
    <w:rsid w:val="00911F4F"/>
    <w:rsid w:val="009201B5"/>
    <w:rsid w:val="00922AF9"/>
    <w:rsid w:val="00931783"/>
    <w:rsid w:val="00941B8F"/>
    <w:rsid w:val="0095122F"/>
    <w:rsid w:val="00970F43"/>
    <w:rsid w:val="0099133C"/>
    <w:rsid w:val="009A09D3"/>
    <w:rsid w:val="009A697E"/>
    <w:rsid w:val="009C1B94"/>
    <w:rsid w:val="009C2E7C"/>
    <w:rsid w:val="009F41DF"/>
    <w:rsid w:val="00A006FA"/>
    <w:rsid w:val="00A01351"/>
    <w:rsid w:val="00A24EE4"/>
    <w:rsid w:val="00A312D4"/>
    <w:rsid w:val="00A33042"/>
    <w:rsid w:val="00A43C64"/>
    <w:rsid w:val="00A4601E"/>
    <w:rsid w:val="00A702B3"/>
    <w:rsid w:val="00A70B38"/>
    <w:rsid w:val="00A726DD"/>
    <w:rsid w:val="00A82CFD"/>
    <w:rsid w:val="00AA574B"/>
    <w:rsid w:val="00AA5D47"/>
    <w:rsid w:val="00AC3BEB"/>
    <w:rsid w:val="00AE5AE2"/>
    <w:rsid w:val="00B016F5"/>
    <w:rsid w:val="00B205A8"/>
    <w:rsid w:val="00B337CA"/>
    <w:rsid w:val="00B357B4"/>
    <w:rsid w:val="00B376EB"/>
    <w:rsid w:val="00B440CF"/>
    <w:rsid w:val="00B452F6"/>
    <w:rsid w:val="00B4572C"/>
    <w:rsid w:val="00B52638"/>
    <w:rsid w:val="00B711B3"/>
    <w:rsid w:val="00B714CD"/>
    <w:rsid w:val="00BB5646"/>
    <w:rsid w:val="00BD35F6"/>
    <w:rsid w:val="00BD3FAD"/>
    <w:rsid w:val="00BF661F"/>
    <w:rsid w:val="00C250AC"/>
    <w:rsid w:val="00C42E5D"/>
    <w:rsid w:val="00C61671"/>
    <w:rsid w:val="00C62947"/>
    <w:rsid w:val="00C65E5D"/>
    <w:rsid w:val="00C663DB"/>
    <w:rsid w:val="00C812C9"/>
    <w:rsid w:val="00C817C7"/>
    <w:rsid w:val="00C862CA"/>
    <w:rsid w:val="00C86D12"/>
    <w:rsid w:val="00C873AC"/>
    <w:rsid w:val="00C87F68"/>
    <w:rsid w:val="00C93B7A"/>
    <w:rsid w:val="00CA1577"/>
    <w:rsid w:val="00CA6D69"/>
    <w:rsid w:val="00CB5987"/>
    <w:rsid w:val="00CD41AA"/>
    <w:rsid w:val="00D0162B"/>
    <w:rsid w:val="00D27855"/>
    <w:rsid w:val="00D41197"/>
    <w:rsid w:val="00D4384E"/>
    <w:rsid w:val="00D62525"/>
    <w:rsid w:val="00D63945"/>
    <w:rsid w:val="00D716C9"/>
    <w:rsid w:val="00D737E1"/>
    <w:rsid w:val="00D90E40"/>
    <w:rsid w:val="00DA6482"/>
    <w:rsid w:val="00DB4028"/>
    <w:rsid w:val="00DC70B0"/>
    <w:rsid w:val="00DD32BD"/>
    <w:rsid w:val="00DE5F57"/>
    <w:rsid w:val="00E17F9C"/>
    <w:rsid w:val="00E33994"/>
    <w:rsid w:val="00E407AB"/>
    <w:rsid w:val="00E83EB7"/>
    <w:rsid w:val="00E93E03"/>
    <w:rsid w:val="00EA3ADD"/>
    <w:rsid w:val="00ED1A36"/>
    <w:rsid w:val="00EE3928"/>
    <w:rsid w:val="00EF5FA3"/>
    <w:rsid w:val="00EF741B"/>
    <w:rsid w:val="00F12421"/>
    <w:rsid w:val="00F27F86"/>
    <w:rsid w:val="00F331A5"/>
    <w:rsid w:val="00F33DFE"/>
    <w:rsid w:val="00F76E59"/>
    <w:rsid w:val="00F81B3C"/>
    <w:rsid w:val="00F9501C"/>
    <w:rsid w:val="00FB2A2A"/>
    <w:rsid w:val="00FB5142"/>
    <w:rsid w:val="00FC0606"/>
    <w:rsid w:val="00FC4EB3"/>
    <w:rsid w:val="00FF07AD"/>
    <w:rsid w:val="00FF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934"/>
  </w:style>
  <w:style w:type="paragraph" w:styleId="Nagwek2">
    <w:name w:val="heading 2"/>
    <w:basedOn w:val="Normalny"/>
    <w:next w:val="Normalny"/>
    <w:link w:val="Nagwek2Znak"/>
    <w:uiPriority w:val="9"/>
    <w:unhideWhenUsed/>
    <w:qFormat/>
    <w:rsid w:val="00A33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304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663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C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FCB"/>
    <w:rPr>
      <w:sz w:val="20"/>
      <w:szCs w:val="20"/>
    </w:rPr>
  </w:style>
  <w:style w:type="character" w:styleId="Odwoanieprzypisukocowego">
    <w:name w:val="endnote reference"/>
    <w:basedOn w:val="Domylnaczcionkaakapitu"/>
    <w:uiPriority w:val="99"/>
    <w:semiHidden/>
    <w:unhideWhenUsed/>
    <w:rsid w:val="002C2FCB"/>
    <w:rPr>
      <w:vertAlign w:val="superscript"/>
    </w:rPr>
  </w:style>
  <w:style w:type="paragraph" w:styleId="Akapitzlist">
    <w:name w:val="List Paragraph"/>
    <w:basedOn w:val="Normalny"/>
    <w:uiPriority w:val="34"/>
    <w:qFormat/>
    <w:rsid w:val="008D3007"/>
    <w:pPr>
      <w:ind w:left="720"/>
      <w:contextualSpacing/>
    </w:pPr>
  </w:style>
  <w:style w:type="paragraph" w:styleId="Tekstprzypisudolnego">
    <w:name w:val="footnote text"/>
    <w:basedOn w:val="Normalny"/>
    <w:link w:val="TekstprzypisudolnegoZnak"/>
    <w:uiPriority w:val="99"/>
    <w:semiHidden/>
    <w:unhideWhenUsed/>
    <w:rsid w:val="003413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13CA"/>
    <w:rPr>
      <w:sz w:val="20"/>
      <w:szCs w:val="20"/>
    </w:rPr>
  </w:style>
  <w:style w:type="character" w:styleId="Odwoanieprzypisudolnego">
    <w:name w:val="footnote reference"/>
    <w:basedOn w:val="Domylnaczcionkaakapitu"/>
    <w:uiPriority w:val="99"/>
    <w:semiHidden/>
    <w:unhideWhenUsed/>
    <w:rsid w:val="003413CA"/>
    <w:rPr>
      <w:vertAlign w:val="superscript"/>
    </w:rPr>
  </w:style>
  <w:style w:type="character" w:customStyle="1" w:styleId="Nagwek2Znak">
    <w:name w:val="Nagłówek 2 Znak"/>
    <w:basedOn w:val="Domylnaczcionkaakapitu"/>
    <w:link w:val="Nagwek2"/>
    <w:uiPriority w:val="9"/>
    <w:rsid w:val="00A3304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304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C663DB"/>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485B9C"/>
    <w:rPr>
      <w:color w:val="0000FF" w:themeColor="hyperlink"/>
      <w:u w:val="single"/>
    </w:rPr>
  </w:style>
  <w:style w:type="paragraph" w:styleId="Tytu">
    <w:name w:val="Title"/>
    <w:basedOn w:val="Normalny"/>
    <w:next w:val="Normalny"/>
    <w:link w:val="TytuZnak"/>
    <w:uiPriority w:val="10"/>
    <w:qFormat/>
    <w:rsid w:val="00CD4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41AA"/>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C81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7C7"/>
  </w:style>
  <w:style w:type="paragraph" w:styleId="Stopka">
    <w:name w:val="footer"/>
    <w:basedOn w:val="Normalny"/>
    <w:link w:val="StopkaZnak"/>
    <w:uiPriority w:val="99"/>
    <w:unhideWhenUsed/>
    <w:rsid w:val="00C81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7C7"/>
  </w:style>
  <w:style w:type="paragraph" w:styleId="Tekstdymka">
    <w:name w:val="Balloon Text"/>
    <w:basedOn w:val="Normalny"/>
    <w:link w:val="TekstdymkaZnak"/>
    <w:uiPriority w:val="99"/>
    <w:semiHidden/>
    <w:unhideWhenUsed/>
    <w:rsid w:val="00C81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7C7"/>
    <w:rPr>
      <w:rFonts w:ascii="Tahoma" w:hAnsi="Tahoma" w:cs="Tahoma"/>
      <w:sz w:val="16"/>
      <w:szCs w:val="16"/>
    </w:rPr>
  </w:style>
  <w:style w:type="character" w:styleId="Odwoaniedokomentarza">
    <w:name w:val="annotation reference"/>
    <w:basedOn w:val="Domylnaczcionkaakapitu"/>
    <w:uiPriority w:val="99"/>
    <w:semiHidden/>
    <w:unhideWhenUsed/>
    <w:rsid w:val="000D477E"/>
    <w:rPr>
      <w:sz w:val="16"/>
      <w:szCs w:val="16"/>
    </w:rPr>
  </w:style>
  <w:style w:type="paragraph" w:styleId="Tekstkomentarza">
    <w:name w:val="annotation text"/>
    <w:basedOn w:val="Normalny"/>
    <w:link w:val="TekstkomentarzaZnak"/>
    <w:uiPriority w:val="99"/>
    <w:semiHidden/>
    <w:unhideWhenUsed/>
    <w:rsid w:val="000D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77E"/>
    <w:rPr>
      <w:sz w:val="20"/>
      <w:szCs w:val="20"/>
    </w:rPr>
  </w:style>
  <w:style w:type="paragraph" w:styleId="Tematkomentarza">
    <w:name w:val="annotation subject"/>
    <w:basedOn w:val="Tekstkomentarza"/>
    <w:next w:val="Tekstkomentarza"/>
    <w:link w:val="TematkomentarzaZnak"/>
    <w:uiPriority w:val="99"/>
    <w:semiHidden/>
    <w:unhideWhenUsed/>
    <w:rsid w:val="000D477E"/>
    <w:rPr>
      <w:b/>
      <w:bCs/>
    </w:rPr>
  </w:style>
  <w:style w:type="character" w:customStyle="1" w:styleId="TematkomentarzaZnak">
    <w:name w:val="Temat komentarza Znak"/>
    <w:basedOn w:val="TekstkomentarzaZnak"/>
    <w:link w:val="Tematkomentarza"/>
    <w:uiPriority w:val="99"/>
    <w:semiHidden/>
    <w:rsid w:val="000D477E"/>
    <w:rPr>
      <w:b/>
      <w:bCs/>
      <w:sz w:val="20"/>
      <w:szCs w:val="20"/>
    </w:rPr>
  </w:style>
  <w:style w:type="table" w:styleId="Tabela-Siatka">
    <w:name w:val="Table Grid"/>
    <w:basedOn w:val="Standardowy"/>
    <w:uiPriority w:val="59"/>
    <w:rsid w:val="007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7C79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nyWeb">
    <w:name w:val="Normal (Web)"/>
    <w:basedOn w:val="Normalny"/>
    <w:uiPriority w:val="99"/>
    <w:semiHidden/>
    <w:unhideWhenUsed/>
    <w:rsid w:val="00922AF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934"/>
  </w:style>
  <w:style w:type="paragraph" w:styleId="Nagwek2">
    <w:name w:val="heading 2"/>
    <w:basedOn w:val="Normalny"/>
    <w:next w:val="Normalny"/>
    <w:link w:val="Nagwek2Znak"/>
    <w:uiPriority w:val="9"/>
    <w:unhideWhenUsed/>
    <w:qFormat/>
    <w:rsid w:val="00A330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3304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663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C2F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FCB"/>
    <w:rPr>
      <w:sz w:val="20"/>
      <w:szCs w:val="20"/>
    </w:rPr>
  </w:style>
  <w:style w:type="character" w:styleId="Odwoanieprzypisukocowego">
    <w:name w:val="endnote reference"/>
    <w:basedOn w:val="Domylnaczcionkaakapitu"/>
    <w:uiPriority w:val="99"/>
    <w:semiHidden/>
    <w:unhideWhenUsed/>
    <w:rsid w:val="002C2FCB"/>
    <w:rPr>
      <w:vertAlign w:val="superscript"/>
    </w:rPr>
  </w:style>
  <w:style w:type="paragraph" w:styleId="Akapitzlist">
    <w:name w:val="List Paragraph"/>
    <w:basedOn w:val="Normalny"/>
    <w:uiPriority w:val="34"/>
    <w:qFormat/>
    <w:rsid w:val="008D3007"/>
    <w:pPr>
      <w:ind w:left="720"/>
      <w:contextualSpacing/>
    </w:pPr>
  </w:style>
  <w:style w:type="paragraph" w:styleId="Tekstprzypisudolnego">
    <w:name w:val="footnote text"/>
    <w:basedOn w:val="Normalny"/>
    <w:link w:val="TekstprzypisudolnegoZnak"/>
    <w:uiPriority w:val="99"/>
    <w:semiHidden/>
    <w:unhideWhenUsed/>
    <w:rsid w:val="003413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13CA"/>
    <w:rPr>
      <w:sz w:val="20"/>
      <w:szCs w:val="20"/>
    </w:rPr>
  </w:style>
  <w:style w:type="character" w:styleId="Odwoanieprzypisudolnego">
    <w:name w:val="footnote reference"/>
    <w:basedOn w:val="Domylnaczcionkaakapitu"/>
    <w:uiPriority w:val="99"/>
    <w:semiHidden/>
    <w:unhideWhenUsed/>
    <w:rsid w:val="003413CA"/>
    <w:rPr>
      <w:vertAlign w:val="superscript"/>
    </w:rPr>
  </w:style>
  <w:style w:type="character" w:customStyle="1" w:styleId="Nagwek2Znak">
    <w:name w:val="Nagłówek 2 Znak"/>
    <w:basedOn w:val="Domylnaczcionkaakapitu"/>
    <w:link w:val="Nagwek2"/>
    <w:uiPriority w:val="9"/>
    <w:rsid w:val="00A3304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304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C663DB"/>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485B9C"/>
    <w:rPr>
      <w:color w:val="0000FF" w:themeColor="hyperlink"/>
      <w:u w:val="single"/>
    </w:rPr>
  </w:style>
  <w:style w:type="paragraph" w:styleId="Tytu">
    <w:name w:val="Title"/>
    <w:basedOn w:val="Normalny"/>
    <w:next w:val="Normalny"/>
    <w:link w:val="TytuZnak"/>
    <w:uiPriority w:val="10"/>
    <w:qFormat/>
    <w:rsid w:val="00CD41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41AA"/>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C81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7C7"/>
  </w:style>
  <w:style w:type="paragraph" w:styleId="Stopka">
    <w:name w:val="footer"/>
    <w:basedOn w:val="Normalny"/>
    <w:link w:val="StopkaZnak"/>
    <w:uiPriority w:val="99"/>
    <w:unhideWhenUsed/>
    <w:rsid w:val="00C81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17C7"/>
  </w:style>
  <w:style w:type="paragraph" w:styleId="Tekstdymka">
    <w:name w:val="Balloon Text"/>
    <w:basedOn w:val="Normalny"/>
    <w:link w:val="TekstdymkaZnak"/>
    <w:uiPriority w:val="99"/>
    <w:semiHidden/>
    <w:unhideWhenUsed/>
    <w:rsid w:val="00C817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7C7"/>
    <w:rPr>
      <w:rFonts w:ascii="Tahoma" w:hAnsi="Tahoma" w:cs="Tahoma"/>
      <w:sz w:val="16"/>
      <w:szCs w:val="16"/>
    </w:rPr>
  </w:style>
  <w:style w:type="character" w:styleId="Odwoaniedokomentarza">
    <w:name w:val="annotation reference"/>
    <w:basedOn w:val="Domylnaczcionkaakapitu"/>
    <w:uiPriority w:val="99"/>
    <w:semiHidden/>
    <w:unhideWhenUsed/>
    <w:rsid w:val="000D477E"/>
    <w:rPr>
      <w:sz w:val="16"/>
      <w:szCs w:val="16"/>
    </w:rPr>
  </w:style>
  <w:style w:type="paragraph" w:styleId="Tekstkomentarza">
    <w:name w:val="annotation text"/>
    <w:basedOn w:val="Normalny"/>
    <w:link w:val="TekstkomentarzaZnak"/>
    <w:uiPriority w:val="99"/>
    <w:semiHidden/>
    <w:unhideWhenUsed/>
    <w:rsid w:val="000D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77E"/>
    <w:rPr>
      <w:sz w:val="20"/>
      <w:szCs w:val="20"/>
    </w:rPr>
  </w:style>
  <w:style w:type="paragraph" w:styleId="Tematkomentarza">
    <w:name w:val="annotation subject"/>
    <w:basedOn w:val="Tekstkomentarza"/>
    <w:next w:val="Tekstkomentarza"/>
    <w:link w:val="TematkomentarzaZnak"/>
    <w:uiPriority w:val="99"/>
    <w:semiHidden/>
    <w:unhideWhenUsed/>
    <w:rsid w:val="000D477E"/>
    <w:rPr>
      <w:b/>
      <w:bCs/>
    </w:rPr>
  </w:style>
  <w:style w:type="character" w:customStyle="1" w:styleId="TematkomentarzaZnak">
    <w:name w:val="Temat komentarza Znak"/>
    <w:basedOn w:val="TekstkomentarzaZnak"/>
    <w:link w:val="Tematkomentarza"/>
    <w:uiPriority w:val="99"/>
    <w:semiHidden/>
    <w:rsid w:val="000D477E"/>
    <w:rPr>
      <w:b/>
      <w:bCs/>
      <w:sz w:val="20"/>
      <w:szCs w:val="20"/>
    </w:rPr>
  </w:style>
  <w:style w:type="table" w:styleId="Tabela-Siatka">
    <w:name w:val="Table Grid"/>
    <w:basedOn w:val="Standardowy"/>
    <w:uiPriority w:val="59"/>
    <w:rsid w:val="007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7C79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nyWeb">
    <w:name w:val="Normal (Web)"/>
    <w:basedOn w:val="Normalny"/>
    <w:uiPriority w:val="99"/>
    <w:semiHidden/>
    <w:unhideWhenUsed/>
    <w:rsid w:val="00922AF9"/>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us.pl"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82BE99463431B935D3B8C488F2B26"/>
        <w:category>
          <w:name w:val="Ogólne"/>
          <w:gallery w:val="placeholder"/>
        </w:category>
        <w:types>
          <w:type w:val="bbPlcHdr"/>
        </w:types>
        <w:behaviors>
          <w:behavior w:val="content"/>
        </w:behaviors>
        <w:guid w:val="{46AA9350-3276-4C9C-AC08-9417220BE32F}"/>
      </w:docPartPr>
      <w:docPartBody>
        <w:p w:rsidR="006061A3" w:rsidRDefault="004504CA" w:rsidP="004504CA">
          <w:pPr>
            <w:pStyle w:val="4FC82BE99463431B935D3B8C488F2B26"/>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4504CA"/>
    <w:rsid w:val="0008522A"/>
    <w:rsid w:val="000C4782"/>
    <w:rsid w:val="001E1CA1"/>
    <w:rsid w:val="002F3A00"/>
    <w:rsid w:val="00386DB6"/>
    <w:rsid w:val="00446921"/>
    <w:rsid w:val="004504CA"/>
    <w:rsid w:val="00556341"/>
    <w:rsid w:val="005A02F1"/>
    <w:rsid w:val="005A3210"/>
    <w:rsid w:val="006061A3"/>
    <w:rsid w:val="0061725B"/>
    <w:rsid w:val="0066602E"/>
    <w:rsid w:val="00675356"/>
    <w:rsid w:val="00927C6D"/>
    <w:rsid w:val="00B402AE"/>
    <w:rsid w:val="00B70386"/>
    <w:rsid w:val="00D07249"/>
    <w:rsid w:val="00D26831"/>
    <w:rsid w:val="00FC43BC"/>
    <w:rsid w:val="00FE5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8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FC82BE99463431B935D3B8C488F2B26">
    <w:name w:val="4FC82BE99463431B935D3B8C488F2B26"/>
    <w:rsid w:val="004504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BDD0-AECB-42E3-81A2-8D6CAD00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709</Words>
  <Characters>4259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Magdzia</dc:creator>
  <cp:lastModifiedBy>Chrzanowska, Magdalena</cp:lastModifiedBy>
  <cp:revision>37</cp:revision>
  <cp:lastPrinted>2019-06-17T09:19:00Z</cp:lastPrinted>
  <dcterms:created xsi:type="dcterms:W3CDTF">2019-06-17T08:39:00Z</dcterms:created>
  <dcterms:modified xsi:type="dcterms:W3CDTF">2019-09-16T15:30:00Z</dcterms:modified>
</cp:coreProperties>
</file>